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5667" w:rsidRDefault="00A22DC0" w:rsidP="00A22DC0">
      <w:pPr>
        <w:jc w:val="center"/>
      </w:pPr>
      <w:r>
        <w:t>Civil Rights Act 1964</w:t>
      </w:r>
    </w:p>
    <w:p w:rsidR="00A22DC0" w:rsidRDefault="00A22DC0" w:rsidP="00A22DC0">
      <w:pPr>
        <w:jc w:val="center"/>
      </w:pPr>
      <w:r>
        <w:t>A legislative journey…</w:t>
      </w:r>
    </w:p>
    <w:p w:rsidR="00A22DC0" w:rsidRDefault="00A22DC0" w:rsidP="00A22DC0">
      <w:r>
        <w:t>What did the Civil Rights Act of 1964 do?</w:t>
      </w:r>
    </w:p>
    <w:tbl>
      <w:tblPr>
        <w:tblStyle w:val="TableGrid"/>
        <w:tblW w:w="0" w:type="auto"/>
        <w:tblLook w:val="04A0"/>
      </w:tblPr>
      <w:tblGrid>
        <w:gridCol w:w="5330"/>
        <w:gridCol w:w="5330"/>
      </w:tblGrid>
      <w:tr w:rsidR="00A22DC0" w:rsidTr="00A22DC0">
        <w:trPr>
          <w:trHeight w:val="342"/>
        </w:trPr>
        <w:tc>
          <w:tcPr>
            <w:tcW w:w="5330" w:type="dxa"/>
          </w:tcPr>
          <w:p w:rsidR="00A22DC0" w:rsidRDefault="00A22DC0" w:rsidP="00A22DC0">
            <w:pPr>
              <w:jc w:val="center"/>
            </w:pPr>
            <w:r>
              <w:t>For African Americans</w:t>
            </w:r>
          </w:p>
        </w:tc>
        <w:tc>
          <w:tcPr>
            <w:tcW w:w="5330" w:type="dxa"/>
          </w:tcPr>
          <w:p w:rsidR="00A22DC0" w:rsidRDefault="00A22DC0" w:rsidP="00A22DC0">
            <w:pPr>
              <w:jc w:val="center"/>
            </w:pPr>
            <w:r>
              <w:t>For Women</w:t>
            </w:r>
          </w:p>
        </w:tc>
      </w:tr>
      <w:tr w:rsidR="00A22DC0" w:rsidTr="00A22DC0">
        <w:trPr>
          <w:trHeight w:val="2125"/>
        </w:trPr>
        <w:tc>
          <w:tcPr>
            <w:tcW w:w="5330" w:type="dxa"/>
          </w:tcPr>
          <w:p w:rsidR="00A22DC0" w:rsidRDefault="00A22DC0" w:rsidP="00A22DC0"/>
          <w:p w:rsidR="00A22DC0" w:rsidRDefault="00A22DC0" w:rsidP="00A22DC0"/>
          <w:p w:rsidR="00A22DC0" w:rsidRDefault="00A22DC0" w:rsidP="00A22DC0"/>
          <w:p w:rsidR="006439FD" w:rsidRDefault="006439FD" w:rsidP="00A22DC0"/>
          <w:p w:rsidR="006439FD" w:rsidRDefault="006439FD" w:rsidP="00A22DC0"/>
          <w:p w:rsidR="006439FD" w:rsidRDefault="006439FD" w:rsidP="00A22DC0"/>
          <w:p w:rsidR="006439FD" w:rsidRDefault="006439FD" w:rsidP="00A22DC0"/>
          <w:p w:rsidR="006439FD" w:rsidRDefault="006439FD" w:rsidP="00A22DC0"/>
          <w:p w:rsidR="006439FD" w:rsidRDefault="006439FD" w:rsidP="00A22DC0"/>
          <w:p w:rsidR="006439FD" w:rsidRDefault="006439FD" w:rsidP="00A22DC0"/>
          <w:p w:rsidR="006439FD" w:rsidRDefault="006439FD" w:rsidP="00A22DC0"/>
          <w:p w:rsidR="006439FD" w:rsidRDefault="006439FD" w:rsidP="00A22DC0"/>
          <w:p w:rsidR="006439FD" w:rsidRDefault="006439FD" w:rsidP="00A22DC0"/>
          <w:p w:rsidR="00A22DC0" w:rsidRDefault="00A22DC0" w:rsidP="00A22DC0"/>
          <w:p w:rsidR="00A22DC0" w:rsidRDefault="00A22DC0" w:rsidP="00A22DC0"/>
          <w:p w:rsidR="00A22DC0" w:rsidRDefault="00A22DC0" w:rsidP="00A22DC0"/>
        </w:tc>
        <w:tc>
          <w:tcPr>
            <w:tcW w:w="5330" w:type="dxa"/>
          </w:tcPr>
          <w:p w:rsidR="00A22DC0" w:rsidRDefault="00A22DC0" w:rsidP="00A22DC0"/>
        </w:tc>
      </w:tr>
    </w:tbl>
    <w:p w:rsidR="00A22DC0" w:rsidRDefault="00A22DC0" w:rsidP="00A22DC0"/>
    <w:p w:rsidR="00A22DC0" w:rsidRDefault="00A22DC0" w:rsidP="00A22DC0">
      <w:r>
        <w:t>How did it happen…?</w:t>
      </w:r>
    </w:p>
    <w:tbl>
      <w:tblPr>
        <w:tblStyle w:val="TableGrid"/>
        <w:tblW w:w="0" w:type="auto"/>
        <w:tblLook w:val="04A0"/>
      </w:tblPr>
      <w:tblGrid>
        <w:gridCol w:w="3560"/>
        <w:gridCol w:w="3560"/>
        <w:gridCol w:w="3560"/>
      </w:tblGrid>
      <w:tr w:rsidR="00A22DC0" w:rsidTr="00A22DC0">
        <w:trPr>
          <w:trHeight w:val="303"/>
        </w:trPr>
        <w:tc>
          <w:tcPr>
            <w:tcW w:w="3560" w:type="dxa"/>
          </w:tcPr>
          <w:p w:rsidR="00A22DC0" w:rsidRDefault="00A22DC0" w:rsidP="00A22DC0">
            <w:pPr>
              <w:jc w:val="center"/>
            </w:pPr>
            <w:r>
              <w:t>At the executive level</w:t>
            </w:r>
          </w:p>
        </w:tc>
        <w:tc>
          <w:tcPr>
            <w:tcW w:w="3560" w:type="dxa"/>
          </w:tcPr>
          <w:p w:rsidR="00A22DC0" w:rsidRDefault="00A22DC0" w:rsidP="00A22DC0">
            <w:pPr>
              <w:jc w:val="center"/>
            </w:pPr>
            <w:r>
              <w:t>In the House</w:t>
            </w:r>
          </w:p>
        </w:tc>
        <w:tc>
          <w:tcPr>
            <w:tcW w:w="3560" w:type="dxa"/>
          </w:tcPr>
          <w:p w:rsidR="00A22DC0" w:rsidRDefault="00A22DC0" w:rsidP="00A22DC0">
            <w:pPr>
              <w:jc w:val="center"/>
            </w:pPr>
            <w:r>
              <w:t>In the Senate</w:t>
            </w:r>
          </w:p>
        </w:tc>
      </w:tr>
      <w:tr w:rsidR="00A22DC0" w:rsidTr="00A22DC0">
        <w:trPr>
          <w:trHeight w:val="3416"/>
        </w:trPr>
        <w:tc>
          <w:tcPr>
            <w:tcW w:w="3560" w:type="dxa"/>
          </w:tcPr>
          <w:p w:rsidR="00A22DC0" w:rsidRDefault="00A22DC0" w:rsidP="00A22DC0"/>
          <w:p w:rsidR="00A22DC0" w:rsidRDefault="00A22DC0" w:rsidP="00A22DC0"/>
          <w:p w:rsidR="00A22DC0" w:rsidRDefault="00A22DC0" w:rsidP="00A22DC0"/>
          <w:p w:rsidR="00A22DC0" w:rsidRDefault="00A22DC0" w:rsidP="00A22DC0"/>
          <w:p w:rsidR="00A22DC0" w:rsidRDefault="00A22DC0" w:rsidP="00A22DC0"/>
          <w:p w:rsidR="00A22DC0" w:rsidRDefault="00A22DC0" w:rsidP="00A22DC0"/>
          <w:p w:rsidR="00A22DC0" w:rsidRDefault="00A22DC0" w:rsidP="00A22DC0"/>
          <w:p w:rsidR="00A22DC0" w:rsidRDefault="00A22DC0" w:rsidP="00A22DC0"/>
          <w:p w:rsidR="00A22DC0" w:rsidRDefault="00A22DC0" w:rsidP="00A22DC0"/>
          <w:p w:rsidR="00A22DC0" w:rsidRDefault="00A22DC0" w:rsidP="00A22DC0"/>
          <w:p w:rsidR="00A22DC0" w:rsidRDefault="00A22DC0" w:rsidP="00A22DC0"/>
          <w:p w:rsidR="006439FD" w:rsidRDefault="006439FD" w:rsidP="00A22DC0"/>
          <w:p w:rsidR="006439FD" w:rsidRDefault="006439FD" w:rsidP="00A22DC0"/>
          <w:p w:rsidR="006439FD" w:rsidRDefault="006439FD" w:rsidP="00A22DC0"/>
          <w:p w:rsidR="006439FD" w:rsidRDefault="006439FD" w:rsidP="00A22DC0"/>
          <w:p w:rsidR="006439FD" w:rsidRDefault="006439FD" w:rsidP="00A22DC0"/>
          <w:p w:rsidR="006439FD" w:rsidRDefault="006439FD" w:rsidP="00A22DC0"/>
          <w:p w:rsidR="006439FD" w:rsidRDefault="006439FD" w:rsidP="00A22DC0"/>
          <w:p w:rsidR="006439FD" w:rsidRDefault="006439FD" w:rsidP="00A22DC0"/>
          <w:p w:rsidR="006439FD" w:rsidRDefault="006439FD" w:rsidP="00A22DC0"/>
          <w:p w:rsidR="006439FD" w:rsidRDefault="006439FD" w:rsidP="00A22DC0"/>
        </w:tc>
        <w:tc>
          <w:tcPr>
            <w:tcW w:w="3560" w:type="dxa"/>
          </w:tcPr>
          <w:p w:rsidR="00A22DC0" w:rsidRDefault="00A22DC0" w:rsidP="00A22DC0"/>
        </w:tc>
        <w:tc>
          <w:tcPr>
            <w:tcW w:w="3560" w:type="dxa"/>
          </w:tcPr>
          <w:p w:rsidR="00A22DC0" w:rsidRDefault="00A22DC0" w:rsidP="00A22DC0"/>
        </w:tc>
      </w:tr>
    </w:tbl>
    <w:p w:rsidR="00A22DC0" w:rsidRDefault="00A22DC0" w:rsidP="00A22DC0"/>
    <w:p w:rsidR="006439FD" w:rsidRDefault="006439FD" w:rsidP="00A22DC0"/>
    <w:p w:rsidR="006439FD" w:rsidRDefault="006439FD" w:rsidP="00A22DC0">
      <w:r>
        <w:lastRenderedPageBreak/>
        <w:t>How does it get passed…?</w:t>
      </w:r>
    </w:p>
    <w:tbl>
      <w:tblPr>
        <w:tblStyle w:val="TableGrid"/>
        <w:tblW w:w="0" w:type="auto"/>
        <w:tblLook w:val="04A0"/>
      </w:tblPr>
      <w:tblGrid>
        <w:gridCol w:w="3560"/>
        <w:gridCol w:w="3560"/>
        <w:gridCol w:w="3560"/>
      </w:tblGrid>
      <w:tr w:rsidR="006439FD" w:rsidTr="00592A85">
        <w:trPr>
          <w:trHeight w:val="303"/>
        </w:trPr>
        <w:tc>
          <w:tcPr>
            <w:tcW w:w="3560" w:type="dxa"/>
          </w:tcPr>
          <w:p w:rsidR="006439FD" w:rsidRDefault="006439FD" w:rsidP="00592A85">
            <w:pPr>
              <w:jc w:val="center"/>
            </w:pPr>
            <w:r>
              <w:t>At the executive level</w:t>
            </w:r>
          </w:p>
        </w:tc>
        <w:tc>
          <w:tcPr>
            <w:tcW w:w="3560" w:type="dxa"/>
          </w:tcPr>
          <w:p w:rsidR="006439FD" w:rsidRDefault="006439FD" w:rsidP="00592A85">
            <w:pPr>
              <w:jc w:val="center"/>
            </w:pPr>
            <w:r>
              <w:t>In the House</w:t>
            </w:r>
          </w:p>
        </w:tc>
        <w:tc>
          <w:tcPr>
            <w:tcW w:w="3560" w:type="dxa"/>
          </w:tcPr>
          <w:p w:rsidR="006439FD" w:rsidRDefault="006439FD" w:rsidP="00592A85">
            <w:pPr>
              <w:jc w:val="center"/>
            </w:pPr>
            <w:r>
              <w:t>In the Senate</w:t>
            </w:r>
          </w:p>
        </w:tc>
      </w:tr>
      <w:tr w:rsidR="006439FD" w:rsidTr="00592A85">
        <w:trPr>
          <w:trHeight w:val="3416"/>
        </w:trPr>
        <w:tc>
          <w:tcPr>
            <w:tcW w:w="3560" w:type="dxa"/>
          </w:tcPr>
          <w:p w:rsidR="006439FD" w:rsidRDefault="006439FD" w:rsidP="00592A85"/>
          <w:p w:rsidR="006439FD" w:rsidRDefault="006439FD" w:rsidP="00592A85"/>
          <w:p w:rsidR="006439FD" w:rsidRDefault="006439FD" w:rsidP="00592A85"/>
          <w:p w:rsidR="006439FD" w:rsidRDefault="006439FD" w:rsidP="00592A85"/>
          <w:p w:rsidR="006439FD" w:rsidRDefault="006439FD" w:rsidP="00592A85"/>
          <w:p w:rsidR="006439FD" w:rsidRDefault="006439FD" w:rsidP="00592A85"/>
          <w:p w:rsidR="006439FD" w:rsidRDefault="006439FD" w:rsidP="00592A85"/>
          <w:p w:rsidR="006439FD" w:rsidRDefault="006439FD" w:rsidP="00592A85"/>
          <w:p w:rsidR="006439FD" w:rsidRDefault="006439FD" w:rsidP="00592A85"/>
          <w:p w:rsidR="006439FD" w:rsidRDefault="006439FD" w:rsidP="00592A85"/>
          <w:p w:rsidR="006439FD" w:rsidRDefault="006439FD" w:rsidP="00592A85"/>
          <w:p w:rsidR="006439FD" w:rsidRDefault="006439FD" w:rsidP="00592A85"/>
          <w:p w:rsidR="006439FD" w:rsidRDefault="006439FD" w:rsidP="00592A85"/>
          <w:p w:rsidR="006439FD" w:rsidRDefault="006439FD" w:rsidP="00592A85"/>
          <w:p w:rsidR="006439FD" w:rsidRDefault="006439FD" w:rsidP="00592A85"/>
          <w:p w:rsidR="006439FD" w:rsidRDefault="006439FD" w:rsidP="00592A85"/>
          <w:p w:rsidR="006439FD" w:rsidRDefault="006439FD" w:rsidP="00592A85"/>
        </w:tc>
        <w:tc>
          <w:tcPr>
            <w:tcW w:w="3560" w:type="dxa"/>
          </w:tcPr>
          <w:p w:rsidR="006439FD" w:rsidRDefault="006439FD" w:rsidP="00592A85"/>
        </w:tc>
        <w:tc>
          <w:tcPr>
            <w:tcW w:w="3560" w:type="dxa"/>
          </w:tcPr>
          <w:p w:rsidR="006439FD" w:rsidRDefault="006439FD" w:rsidP="00592A85"/>
        </w:tc>
      </w:tr>
    </w:tbl>
    <w:p w:rsidR="006439FD" w:rsidRDefault="006439FD" w:rsidP="00A22DC0"/>
    <w:p w:rsidR="006439FD" w:rsidRDefault="006439FD" w:rsidP="00A22DC0">
      <w:r>
        <w:t xml:space="preserve">How does </w:t>
      </w:r>
      <w:r w:rsidRPr="00E6596E">
        <w:rPr>
          <w:i/>
        </w:rPr>
        <w:t>Heart of Atlanta Motel v. US</w:t>
      </w:r>
      <w:r>
        <w:t xml:space="preserve"> uphold the CRA ’64? Brief the case…</w:t>
      </w:r>
    </w:p>
    <w:p w:rsidR="00A22DC0" w:rsidRDefault="006439FD" w:rsidP="00A22DC0">
      <w:r>
        <w:t>Facts:</w:t>
      </w:r>
    </w:p>
    <w:p w:rsidR="006439FD" w:rsidRDefault="006439FD" w:rsidP="00A22DC0"/>
    <w:p w:rsidR="006439FD" w:rsidRDefault="006439FD" w:rsidP="00A22DC0"/>
    <w:p w:rsidR="006439FD" w:rsidRDefault="006439FD" w:rsidP="00A22DC0"/>
    <w:p w:rsidR="006439FD" w:rsidRDefault="006439FD" w:rsidP="00A22DC0"/>
    <w:p w:rsidR="006439FD" w:rsidRDefault="006439FD" w:rsidP="00A22DC0">
      <w:r>
        <w:t>Constitutional Question:</w:t>
      </w:r>
    </w:p>
    <w:p w:rsidR="006439FD" w:rsidRDefault="006439FD" w:rsidP="00A22DC0"/>
    <w:p w:rsidR="006439FD" w:rsidRDefault="006439FD" w:rsidP="00A22DC0"/>
    <w:p w:rsidR="006439FD" w:rsidRDefault="006439FD" w:rsidP="00A22DC0"/>
    <w:p w:rsidR="006439FD" w:rsidRDefault="006439FD" w:rsidP="00A22DC0"/>
    <w:p w:rsidR="006439FD" w:rsidRDefault="006439FD" w:rsidP="00A22DC0">
      <w:r>
        <w:t>Holding:</w:t>
      </w:r>
    </w:p>
    <w:p w:rsidR="006439FD" w:rsidRDefault="006439FD" w:rsidP="00A22DC0">
      <w:r>
        <w:t>Rationale:</w:t>
      </w:r>
    </w:p>
    <w:p w:rsidR="006439FD" w:rsidRDefault="006439FD" w:rsidP="00A22DC0"/>
    <w:p w:rsidR="006439FD" w:rsidRDefault="006439FD" w:rsidP="00A22DC0"/>
    <w:p w:rsidR="006439FD" w:rsidRDefault="006439FD" w:rsidP="00A22DC0"/>
    <w:p w:rsidR="006439FD" w:rsidRDefault="006439FD" w:rsidP="00A22DC0"/>
    <w:p w:rsidR="006439FD" w:rsidRPr="006439FD" w:rsidRDefault="006439FD" w:rsidP="006439FD">
      <w:pPr>
        <w:spacing w:before="100" w:beforeAutospacing="1" w:after="100" w:afterAutospacing="1" w:line="240" w:lineRule="auto"/>
        <w:outlineLvl w:val="0"/>
        <w:rPr>
          <w:rFonts w:ascii="Times New Roman" w:eastAsia="Times New Roman" w:hAnsi="Times New Roman" w:cs="Times New Roman"/>
          <w:b/>
          <w:bCs/>
          <w:i/>
          <w:kern w:val="36"/>
          <w:sz w:val="24"/>
          <w:szCs w:val="48"/>
        </w:rPr>
      </w:pPr>
      <w:r w:rsidRPr="006439FD">
        <w:rPr>
          <w:rFonts w:ascii="Times New Roman" w:eastAsia="Times New Roman" w:hAnsi="Times New Roman" w:cs="Times New Roman"/>
          <w:b/>
          <w:bCs/>
          <w:i/>
          <w:kern w:val="36"/>
          <w:sz w:val="24"/>
          <w:szCs w:val="48"/>
        </w:rPr>
        <w:lastRenderedPageBreak/>
        <w:t>Heart of Atlanta Motel, Inc. v. United States</w:t>
      </w:r>
      <w:r w:rsidR="002F79CC">
        <w:rPr>
          <w:rFonts w:ascii="Times New Roman" w:eastAsia="Times New Roman" w:hAnsi="Times New Roman" w:cs="Times New Roman"/>
          <w:b/>
          <w:bCs/>
          <w:i/>
          <w:kern w:val="36"/>
          <w:sz w:val="24"/>
          <w:szCs w:val="48"/>
        </w:rPr>
        <w:t xml:space="preserve"> (1964)</w:t>
      </w:r>
    </w:p>
    <w:p w:rsidR="006439FD" w:rsidRPr="006439FD" w:rsidRDefault="006439FD" w:rsidP="006439FD">
      <w:pPr>
        <w:spacing w:before="100" w:beforeAutospacing="1" w:after="100" w:afterAutospacing="1" w:line="240" w:lineRule="auto"/>
        <w:rPr>
          <w:rFonts w:ascii="Times New Roman" w:eastAsia="Times New Roman" w:hAnsi="Times New Roman" w:cs="Times New Roman"/>
          <w:sz w:val="24"/>
          <w:szCs w:val="24"/>
        </w:rPr>
      </w:pPr>
      <w:proofErr w:type="gramStart"/>
      <w:r w:rsidRPr="002F79CC">
        <w:rPr>
          <w:rFonts w:ascii="Times New Roman" w:eastAsia="Times New Roman" w:hAnsi="Times New Roman" w:cs="Times New Roman"/>
          <w:b/>
          <w:sz w:val="24"/>
          <w:szCs w:val="24"/>
        </w:rPr>
        <w:t>Brief Fact Summary</w:t>
      </w:r>
      <w:r w:rsidRPr="002F79CC">
        <w:rPr>
          <w:rFonts w:ascii="Times New Roman" w:eastAsia="Times New Roman" w:hAnsi="Times New Roman" w:cs="Times New Roman"/>
          <w:sz w:val="24"/>
          <w:szCs w:val="24"/>
        </w:rPr>
        <w:t>.</w:t>
      </w:r>
      <w:proofErr w:type="gramEnd"/>
      <w:r w:rsidRPr="006439FD">
        <w:rPr>
          <w:rFonts w:ascii="Times New Roman" w:eastAsia="Times New Roman" w:hAnsi="Times New Roman" w:cs="Times New Roman"/>
          <w:sz w:val="24"/>
          <w:szCs w:val="24"/>
        </w:rPr>
        <w:t xml:space="preserve"> Prior to passage of the Civil Rights Act of 1964 (the Act), the Appellant, Heart Atlanta Motel, Inc. (Appellant) operated a motel which refused accommodations to blacks. Appellant intended to continue this behavior to challenge Congress’ authority to pass the Act.</w:t>
      </w:r>
      <w:r w:rsidRPr="006439FD">
        <w:rPr>
          <w:rFonts w:ascii="Times New Roman" w:eastAsia="Times New Roman" w:hAnsi="Times New Roman" w:cs="Times New Roman"/>
          <w:sz w:val="24"/>
          <w:szCs w:val="24"/>
        </w:rPr>
        <w:br/>
      </w:r>
      <w:r w:rsidRPr="006439FD">
        <w:rPr>
          <w:rFonts w:ascii="Times New Roman" w:eastAsia="Times New Roman" w:hAnsi="Times New Roman" w:cs="Times New Roman"/>
          <w:sz w:val="24"/>
          <w:szCs w:val="24"/>
        </w:rPr>
        <w:br/>
      </w:r>
      <w:proofErr w:type="gramStart"/>
      <w:r w:rsidRPr="002F79CC">
        <w:rPr>
          <w:rFonts w:ascii="Times New Roman" w:eastAsia="Times New Roman" w:hAnsi="Times New Roman" w:cs="Times New Roman"/>
          <w:b/>
          <w:sz w:val="24"/>
          <w:szCs w:val="24"/>
        </w:rPr>
        <w:t>Synopsis of Rule of Law</w:t>
      </w:r>
      <w:r w:rsidRPr="002F79CC">
        <w:rPr>
          <w:rFonts w:ascii="Times New Roman" w:eastAsia="Times New Roman" w:hAnsi="Times New Roman" w:cs="Times New Roman"/>
          <w:sz w:val="24"/>
          <w:szCs w:val="24"/>
        </w:rPr>
        <w:t>.</w:t>
      </w:r>
      <w:proofErr w:type="gramEnd"/>
      <w:r w:rsidRPr="006439FD">
        <w:rPr>
          <w:rFonts w:ascii="Times New Roman" w:eastAsia="Times New Roman" w:hAnsi="Times New Roman" w:cs="Times New Roman"/>
          <w:sz w:val="24"/>
          <w:szCs w:val="24"/>
        </w:rPr>
        <w:t xml:space="preserve"> Congress may regulate the ability of commercial institutions to deny service on the basis of race under its power to regulate interstate commerce.</w:t>
      </w:r>
      <w:r w:rsidRPr="006439FD">
        <w:rPr>
          <w:rFonts w:ascii="Times New Roman" w:eastAsia="Times New Roman" w:hAnsi="Times New Roman" w:cs="Times New Roman"/>
          <w:sz w:val="24"/>
          <w:szCs w:val="24"/>
        </w:rPr>
        <w:br/>
      </w:r>
      <w:r w:rsidRPr="006439FD">
        <w:rPr>
          <w:rFonts w:ascii="Times New Roman" w:eastAsia="Times New Roman" w:hAnsi="Times New Roman" w:cs="Times New Roman"/>
          <w:sz w:val="24"/>
          <w:szCs w:val="24"/>
        </w:rPr>
        <w:br/>
      </w:r>
      <w:proofErr w:type="gramStart"/>
      <w:r w:rsidRPr="002F79CC">
        <w:rPr>
          <w:rFonts w:ascii="Times New Roman" w:eastAsia="Times New Roman" w:hAnsi="Times New Roman" w:cs="Times New Roman"/>
          <w:b/>
          <w:sz w:val="24"/>
          <w:szCs w:val="24"/>
        </w:rPr>
        <w:t>Facts.</w:t>
      </w:r>
      <w:proofErr w:type="gramEnd"/>
      <w:r w:rsidRPr="006439FD">
        <w:rPr>
          <w:rFonts w:ascii="Times New Roman" w:eastAsia="Times New Roman" w:hAnsi="Times New Roman" w:cs="Times New Roman"/>
          <w:sz w:val="24"/>
          <w:szCs w:val="24"/>
        </w:rPr>
        <w:t xml:space="preserve"> Heart of Atlanta Motel had 216 rooms available to transient guests and had historically rented rooms only to white guests. Appellant solicits business from outside the State of Georgia through advertising in national travel magazines and other media. Approximately 70% of its guests are from outside the state. Appellant contends that Congress has overreached its authority under the Commerce Clause in enacting the Act.</w:t>
      </w:r>
      <w:r w:rsidRPr="006439FD">
        <w:rPr>
          <w:rFonts w:ascii="Times New Roman" w:eastAsia="Times New Roman" w:hAnsi="Times New Roman" w:cs="Times New Roman"/>
          <w:sz w:val="24"/>
          <w:szCs w:val="24"/>
        </w:rPr>
        <w:br/>
      </w:r>
      <w:r w:rsidRPr="006439FD">
        <w:rPr>
          <w:rFonts w:ascii="Times New Roman" w:eastAsia="Times New Roman" w:hAnsi="Times New Roman" w:cs="Times New Roman"/>
          <w:sz w:val="24"/>
          <w:szCs w:val="24"/>
        </w:rPr>
        <w:br/>
      </w:r>
      <w:proofErr w:type="gramStart"/>
      <w:r w:rsidRPr="002F79CC">
        <w:rPr>
          <w:rFonts w:ascii="Times New Roman" w:eastAsia="Times New Roman" w:hAnsi="Times New Roman" w:cs="Times New Roman"/>
          <w:b/>
          <w:sz w:val="24"/>
          <w:szCs w:val="24"/>
        </w:rPr>
        <w:t>Issue</w:t>
      </w:r>
      <w:r w:rsidRPr="002F79CC">
        <w:rPr>
          <w:rFonts w:ascii="Times New Roman" w:eastAsia="Times New Roman" w:hAnsi="Times New Roman" w:cs="Times New Roman"/>
          <w:sz w:val="24"/>
          <w:szCs w:val="24"/>
        </w:rPr>
        <w:t>.</w:t>
      </w:r>
      <w:proofErr w:type="gramEnd"/>
      <w:r w:rsidRPr="006439FD">
        <w:rPr>
          <w:rFonts w:ascii="Times New Roman" w:eastAsia="Times New Roman" w:hAnsi="Times New Roman" w:cs="Times New Roman"/>
          <w:sz w:val="24"/>
          <w:szCs w:val="24"/>
        </w:rPr>
        <w:t xml:space="preserve"> May Congress prohibit racial discrimination in hotel lodging under the Commerce Clause?</w:t>
      </w:r>
    </w:p>
    <w:p w:rsidR="002F79CC" w:rsidRDefault="002F79CC" w:rsidP="00A22DC0">
      <w:pPr>
        <w:rPr>
          <w:rFonts w:ascii="Times New Roman" w:hAnsi="Times New Roman" w:cs="Times New Roman"/>
          <w:sz w:val="24"/>
          <w:szCs w:val="24"/>
        </w:rPr>
      </w:pPr>
      <w:proofErr w:type="gramStart"/>
      <w:r w:rsidRPr="002F79CC">
        <w:rPr>
          <w:rStyle w:val="heading"/>
          <w:rFonts w:ascii="Times New Roman" w:hAnsi="Times New Roman" w:cs="Times New Roman"/>
          <w:b/>
          <w:sz w:val="24"/>
          <w:szCs w:val="24"/>
        </w:rPr>
        <w:t>Held</w:t>
      </w:r>
      <w:r w:rsidRPr="002F79CC">
        <w:rPr>
          <w:rStyle w:val="heading"/>
          <w:rFonts w:ascii="Times New Roman" w:hAnsi="Times New Roman" w:cs="Times New Roman"/>
          <w:sz w:val="24"/>
          <w:szCs w:val="24"/>
        </w:rPr>
        <w:t>.</w:t>
      </w:r>
      <w:proofErr w:type="gramEnd"/>
      <w:r w:rsidRPr="002F79CC">
        <w:rPr>
          <w:rFonts w:ascii="Times New Roman" w:hAnsi="Times New Roman" w:cs="Times New Roman"/>
          <w:sz w:val="24"/>
          <w:szCs w:val="24"/>
        </w:rPr>
        <w:t xml:space="preserve"> Yes. Appeals court ruling affirmed.</w:t>
      </w:r>
      <w:r w:rsidRPr="002F79CC">
        <w:rPr>
          <w:rFonts w:ascii="Times New Roman" w:hAnsi="Times New Roman" w:cs="Times New Roman"/>
          <w:sz w:val="24"/>
          <w:szCs w:val="24"/>
        </w:rPr>
        <w:br/>
        <w:t>Congress heard testimony from many sources describing the hardships blacks face in securing transient accommodations throughout the United States. With an increasingly mobile populace, this brought increasing difficulties to many United States citizens.</w:t>
      </w:r>
    </w:p>
    <w:p w:rsidR="002F79CC" w:rsidRDefault="002F79CC" w:rsidP="00A22DC0">
      <w:pPr>
        <w:rPr>
          <w:rFonts w:ascii="Times New Roman" w:hAnsi="Times New Roman" w:cs="Times New Roman"/>
          <w:sz w:val="24"/>
          <w:szCs w:val="24"/>
        </w:rPr>
      </w:pPr>
      <w:r w:rsidRPr="002F79CC">
        <w:rPr>
          <w:rFonts w:ascii="Times New Roman" w:hAnsi="Times New Roman" w:cs="Times New Roman"/>
          <w:sz w:val="24"/>
          <w:szCs w:val="24"/>
        </w:rPr>
        <w:br/>
        <w:t xml:space="preserve">It does not matter that Congress was addressing a moral issue (see the dissent in Hammer v. </w:t>
      </w:r>
      <w:proofErr w:type="spellStart"/>
      <w:r w:rsidRPr="002F79CC">
        <w:rPr>
          <w:rFonts w:ascii="Times New Roman" w:hAnsi="Times New Roman" w:cs="Times New Roman"/>
          <w:sz w:val="24"/>
          <w:szCs w:val="24"/>
        </w:rPr>
        <w:t>Dagenhart</w:t>
      </w:r>
      <w:proofErr w:type="spellEnd"/>
      <w:r w:rsidRPr="002F79CC">
        <w:rPr>
          <w:rFonts w:ascii="Times New Roman" w:hAnsi="Times New Roman" w:cs="Times New Roman"/>
          <w:sz w:val="24"/>
          <w:szCs w:val="24"/>
        </w:rPr>
        <w:t>, 247 U.S. 251 (1918) and the Supreme Court of the United States’ (Supreme Court) opinion in Darby, 312 U.S. 100 (1941). What the Supreme Court is examining is Congress’ power to enact the legislation, not the impetus behind the Act.</w:t>
      </w:r>
    </w:p>
    <w:p w:rsidR="006439FD" w:rsidRDefault="002F79CC" w:rsidP="00A22DC0">
      <w:pPr>
        <w:rPr>
          <w:rFonts w:ascii="Times New Roman" w:hAnsi="Times New Roman" w:cs="Times New Roman"/>
          <w:sz w:val="24"/>
          <w:szCs w:val="24"/>
        </w:rPr>
      </w:pPr>
      <w:r w:rsidRPr="002F79CC">
        <w:rPr>
          <w:rFonts w:ascii="Times New Roman" w:hAnsi="Times New Roman" w:cs="Times New Roman"/>
          <w:sz w:val="24"/>
          <w:szCs w:val="24"/>
        </w:rPr>
        <w:br/>
      </w:r>
      <w:proofErr w:type="gramStart"/>
      <w:r w:rsidRPr="002F79CC">
        <w:rPr>
          <w:rFonts w:ascii="Times New Roman" w:hAnsi="Times New Roman" w:cs="Times New Roman"/>
          <w:sz w:val="24"/>
          <w:szCs w:val="24"/>
        </w:rPr>
        <w:t>Concurrence.</w:t>
      </w:r>
      <w:proofErr w:type="gramEnd"/>
      <w:r w:rsidRPr="002F79CC">
        <w:rPr>
          <w:rFonts w:ascii="Times New Roman" w:hAnsi="Times New Roman" w:cs="Times New Roman"/>
          <w:sz w:val="24"/>
          <w:szCs w:val="24"/>
        </w:rPr>
        <w:t xml:space="preserve"> Justice William Douglas (J. Douglas) concurs in the judgment, but he is uneasy resting the decision on the Commerce Clause, rather than Section: 5 of the Fourteenth Amendment of the United States Constitution (Constitution). He feels that it is more appropriate to rest civil rights legislation on the constitutional status of the individual, than the impact on commerce.</w:t>
      </w:r>
      <w:r w:rsidRPr="002F79CC">
        <w:rPr>
          <w:rFonts w:ascii="Times New Roman" w:hAnsi="Times New Roman" w:cs="Times New Roman"/>
          <w:sz w:val="24"/>
          <w:szCs w:val="24"/>
        </w:rPr>
        <w:br/>
      </w:r>
      <w:r w:rsidRPr="002F79CC">
        <w:rPr>
          <w:rFonts w:ascii="Times New Roman" w:hAnsi="Times New Roman" w:cs="Times New Roman"/>
          <w:sz w:val="24"/>
          <w:szCs w:val="24"/>
        </w:rPr>
        <w:br/>
      </w:r>
      <w:proofErr w:type="gramStart"/>
      <w:r w:rsidRPr="002F79CC">
        <w:rPr>
          <w:rStyle w:val="heading"/>
          <w:rFonts w:ascii="Times New Roman" w:hAnsi="Times New Roman" w:cs="Times New Roman"/>
          <w:b/>
          <w:sz w:val="24"/>
          <w:szCs w:val="24"/>
        </w:rPr>
        <w:t>Discussion.</w:t>
      </w:r>
      <w:proofErr w:type="gramEnd"/>
      <w:r w:rsidRPr="002F79CC">
        <w:rPr>
          <w:rFonts w:ascii="Times New Roman" w:hAnsi="Times New Roman" w:cs="Times New Roman"/>
          <w:sz w:val="24"/>
          <w:szCs w:val="24"/>
        </w:rPr>
        <w:t xml:space="preserve"> The first of the modern civil rights cases before the Supreme Court, Heart of Atlanta Motel, illustrates the plenary nature with which the Supreme Court had vested the commerce power. The view expressed by J. Douglas was eschewed by the majority, largely because in The Civil Rights Cases, 109 U.S. 3 (1883), the Supreme Court had ruled that Section: 5 of the Fourteenth Amendment of the Constitution could not regulate private behavior.</w:t>
      </w:r>
    </w:p>
    <w:p w:rsidR="002F79CC" w:rsidRDefault="002F79CC" w:rsidP="00A22DC0">
      <w:pPr>
        <w:rPr>
          <w:rFonts w:ascii="Times New Roman" w:hAnsi="Times New Roman" w:cs="Times New Roman"/>
          <w:sz w:val="24"/>
          <w:szCs w:val="24"/>
        </w:rPr>
      </w:pPr>
    </w:p>
    <w:p w:rsidR="002F79CC" w:rsidRDefault="002F79CC" w:rsidP="00A22DC0">
      <w:pPr>
        <w:rPr>
          <w:rFonts w:ascii="Times New Roman" w:hAnsi="Times New Roman" w:cs="Times New Roman"/>
          <w:sz w:val="24"/>
          <w:szCs w:val="24"/>
        </w:rPr>
      </w:pPr>
    </w:p>
    <w:p w:rsidR="002F79CC" w:rsidRDefault="002F79CC" w:rsidP="00A22DC0">
      <w:pPr>
        <w:rPr>
          <w:rFonts w:ascii="Times New Roman" w:hAnsi="Times New Roman" w:cs="Times New Roman"/>
          <w:sz w:val="24"/>
          <w:szCs w:val="24"/>
        </w:rPr>
      </w:pPr>
    </w:p>
    <w:p w:rsidR="002F79CC" w:rsidRDefault="002F79CC" w:rsidP="00A22DC0">
      <w:pPr>
        <w:rPr>
          <w:rFonts w:ascii="Times New Roman" w:hAnsi="Times New Roman" w:cs="Times New Roman"/>
          <w:sz w:val="24"/>
          <w:szCs w:val="24"/>
        </w:rPr>
      </w:pPr>
    </w:p>
    <w:p w:rsidR="002F79CC" w:rsidRDefault="002F79CC" w:rsidP="00A22DC0">
      <w:pPr>
        <w:rPr>
          <w:rFonts w:ascii="Times New Roman" w:hAnsi="Times New Roman" w:cs="Times New Roman"/>
          <w:sz w:val="24"/>
          <w:szCs w:val="24"/>
        </w:rPr>
      </w:pPr>
    </w:p>
    <w:p w:rsidR="002F79CC" w:rsidRDefault="002F79CC" w:rsidP="00A22DC0">
      <w:pPr>
        <w:rPr>
          <w:rFonts w:ascii="Times New Roman" w:hAnsi="Times New Roman" w:cs="Times New Roman"/>
          <w:sz w:val="24"/>
          <w:szCs w:val="24"/>
        </w:rPr>
      </w:pPr>
    </w:p>
    <w:p w:rsidR="002F79CC" w:rsidRDefault="002F79CC" w:rsidP="002F79CC">
      <w:pPr>
        <w:jc w:val="center"/>
        <w:rPr>
          <w:rFonts w:ascii="Times New Roman" w:hAnsi="Times New Roman" w:cs="Times New Roman"/>
          <w:sz w:val="24"/>
          <w:szCs w:val="24"/>
        </w:rPr>
      </w:pPr>
      <w:r>
        <w:rPr>
          <w:rFonts w:ascii="Times New Roman" w:hAnsi="Times New Roman" w:cs="Times New Roman"/>
          <w:sz w:val="24"/>
          <w:szCs w:val="24"/>
        </w:rPr>
        <w:lastRenderedPageBreak/>
        <w:t xml:space="preserve">Civil Rights Act of 1964 </w:t>
      </w:r>
    </w:p>
    <w:p w:rsidR="002F79CC" w:rsidRDefault="002F79CC" w:rsidP="002F79CC">
      <w:pPr>
        <w:jc w:val="center"/>
        <w:rPr>
          <w:rFonts w:ascii="Times New Roman" w:hAnsi="Times New Roman" w:cs="Times New Roman"/>
          <w:sz w:val="24"/>
          <w:szCs w:val="24"/>
        </w:rPr>
      </w:pPr>
    </w:p>
    <w:tbl>
      <w:tblPr>
        <w:tblStyle w:val="TableGrid"/>
        <w:tblW w:w="0" w:type="auto"/>
        <w:tblLook w:val="04A0"/>
      </w:tblPr>
      <w:tblGrid>
        <w:gridCol w:w="1548"/>
        <w:gridCol w:w="9468"/>
      </w:tblGrid>
      <w:tr w:rsidR="002F79CC" w:rsidTr="002F79CC">
        <w:tc>
          <w:tcPr>
            <w:tcW w:w="1548" w:type="dxa"/>
          </w:tcPr>
          <w:p w:rsidR="002F79CC" w:rsidRDefault="002F79CC" w:rsidP="002F79CC">
            <w:pPr>
              <w:jc w:val="center"/>
              <w:rPr>
                <w:rFonts w:ascii="Times New Roman" w:hAnsi="Times New Roman" w:cs="Times New Roman"/>
                <w:sz w:val="24"/>
                <w:szCs w:val="24"/>
              </w:rPr>
            </w:pPr>
            <w:r>
              <w:rPr>
                <w:rFonts w:ascii="Times New Roman" w:hAnsi="Times New Roman" w:cs="Times New Roman"/>
                <w:sz w:val="24"/>
                <w:szCs w:val="24"/>
              </w:rPr>
              <w:t>Title I</w:t>
            </w:r>
          </w:p>
        </w:tc>
        <w:tc>
          <w:tcPr>
            <w:tcW w:w="9468" w:type="dxa"/>
          </w:tcPr>
          <w:p w:rsidR="002F79CC" w:rsidRDefault="002F79CC" w:rsidP="002F79CC">
            <w:pPr>
              <w:jc w:val="center"/>
              <w:rPr>
                <w:rFonts w:ascii="Times New Roman" w:hAnsi="Times New Roman" w:cs="Times New Roman"/>
                <w:sz w:val="24"/>
                <w:szCs w:val="24"/>
              </w:rPr>
            </w:pPr>
          </w:p>
          <w:p w:rsidR="002F79CC" w:rsidRDefault="002F79CC" w:rsidP="002F79CC">
            <w:pPr>
              <w:jc w:val="center"/>
              <w:rPr>
                <w:rFonts w:ascii="Times New Roman" w:hAnsi="Times New Roman" w:cs="Times New Roman"/>
                <w:sz w:val="24"/>
                <w:szCs w:val="24"/>
              </w:rPr>
            </w:pPr>
          </w:p>
          <w:p w:rsidR="002F79CC" w:rsidRDefault="002F79CC" w:rsidP="002F79CC">
            <w:pPr>
              <w:rPr>
                <w:rFonts w:ascii="Times New Roman" w:hAnsi="Times New Roman" w:cs="Times New Roman"/>
                <w:sz w:val="24"/>
                <w:szCs w:val="24"/>
              </w:rPr>
            </w:pPr>
          </w:p>
          <w:p w:rsidR="002F79CC" w:rsidRDefault="002F79CC" w:rsidP="002F79CC">
            <w:pPr>
              <w:jc w:val="center"/>
              <w:rPr>
                <w:rFonts w:ascii="Times New Roman" w:hAnsi="Times New Roman" w:cs="Times New Roman"/>
                <w:sz w:val="24"/>
                <w:szCs w:val="24"/>
              </w:rPr>
            </w:pPr>
          </w:p>
        </w:tc>
      </w:tr>
      <w:tr w:rsidR="002F79CC" w:rsidTr="002F79CC">
        <w:tc>
          <w:tcPr>
            <w:tcW w:w="1548" w:type="dxa"/>
          </w:tcPr>
          <w:p w:rsidR="002F79CC" w:rsidRDefault="002F79CC" w:rsidP="002F79CC">
            <w:pPr>
              <w:jc w:val="center"/>
              <w:rPr>
                <w:rFonts w:ascii="Times New Roman" w:hAnsi="Times New Roman" w:cs="Times New Roman"/>
                <w:sz w:val="24"/>
                <w:szCs w:val="24"/>
              </w:rPr>
            </w:pPr>
            <w:r>
              <w:rPr>
                <w:rFonts w:ascii="Times New Roman" w:hAnsi="Times New Roman" w:cs="Times New Roman"/>
                <w:sz w:val="24"/>
                <w:szCs w:val="24"/>
              </w:rPr>
              <w:t>Title II</w:t>
            </w:r>
          </w:p>
        </w:tc>
        <w:tc>
          <w:tcPr>
            <w:tcW w:w="9468" w:type="dxa"/>
          </w:tcPr>
          <w:p w:rsidR="002F79CC" w:rsidRDefault="002F79CC" w:rsidP="002F79CC">
            <w:pPr>
              <w:jc w:val="center"/>
              <w:rPr>
                <w:rFonts w:ascii="Times New Roman" w:hAnsi="Times New Roman" w:cs="Times New Roman"/>
                <w:sz w:val="24"/>
                <w:szCs w:val="24"/>
              </w:rPr>
            </w:pPr>
          </w:p>
          <w:p w:rsidR="002F79CC" w:rsidRDefault="002F79CC" w:rsidP="002F79CC">
            <w:pPr>
              <w:jc w:val="center"/>
              <w:rPr>
                <w:rFonts w:ascii="Times New Roman" w:hAnsi="Times New Roman" w:cs="Times New Roman"/>
                <w:sz w:val="24"/>
                <w:szCs w:val="24"/>
              </w:rPr>
            </w:pPr>
          </w:p>
          <w:p w:rsidR="002F79CC" w:rsidRDefault="002F79CC" w:rsidP="002F79CC">
            <w:pPr>
              <w:rPr>
                <w:rFonts w:ascii="Times New Roman" w:hAnsi="Times New Roman" w:cs="Times New Roman"/>
                <w:sz w:val="24"/>
                <w:szCs w:val="24"/>
              </w:rPr>
            </w:pPr>
          </w:p>
          <w:p w:rsidR="002F79CC" w:rsidRDefault="002F79CC" w:rsidP="002F79CC">
            <w:pPr>
              <w:jc w:val="center"/>
              <w:rPr>
                <w:rFonts w:ascii="Times New Roman" w:hAnsi="Times New Roman" w:cs="Times New Roman"/>
                <w:sz w:val="24"/>
                <w:szCs w:val="24"/>
              </w:rPr>
            </w:pPr>
          </w:p>
        </w:tc>
      </w:tr>
      <w:tr w:rsidR="002F79CC" w:rsidTr="002F79CC">
        <w:tc>
          <w:tcPr>
            <w:tcW w:w="1548" w:type="dxa"/>
          </w:tcPr>
          <w:p w:rsidR="002F79CC" w:rsidRDefault="002F79CC" w:rsidP="002F79CC">
            <w:pPr>
              <w:jc w:val="center"/>
              <w:rPr>
                <w:rFonts w:ascii="Times New Roman" w:hAnsi="Times New Roman" w:cs="Times New Roman"/>
                <w:sz w:val="24"/>
                <w:szCs w:val="24"/>
              </w:rPr>
            </w:pPr>
            <w:r>
              <w:rPr>
                <w:rFonts w:ascii="Times New Roman" w:hAnsi="Times New Roman" w:cs="Times New Roman"/>
                <w:sz w:val="24"/>
                <w:szCs w:val="24"/>
              </w:rPr>
              <w:t>Title III</w:t>
            </w:r>
          </w:p>
        </w:tc>
        <w:tc>
          <w:tcPr>
            <w:tcW w:w="9468" w:type="dxa"/>
          </w:tcPr>
          <w:p w:rsidR="002F79CC" w:rsidRDefault="002F79CC" w:rsidP="002F79CC">
            <w:pPr>
              <w:rPr>
                <w:rFonts w:ascii="Times New Roman" w:hAnsi="Times New Roman" w:cs="Times New Roman"/>
                <w:sz w:val="24"/>
                <w:szCs w:val="24"/>
              </w:rPr>
            </w:pPr>
          </w:p>
          <w:p w:rsidR="002F79CC" w:rsidRDefault="002F79CC" w:rsidP="002F79CC">
            <w:pPr>
              <w:jc w:val="center"/>
              <w:rPr>
                <w:rFonts w:ascii="Times New Roman" w:hAnsi="Times New Roman" w:cs="Times New Roman"/>
                <w:sz w:val="24"/>
                <w:szCs w:val="24"/>
              </w:rPr>
            </w:pPr>
          </w:p>
          <w:p w:rsidR="002F79CC" w:rsidRDefault="002F79CC" w:rsidP="002F79CC">
            <w:pPr>
              <w:jc w:val="center"/>
              <w:rPr>
                <w:rFonts w:ascii="Times New Roman" w:hAnsi="Times New Roman" w:cs="Times New Roman"/>
                <w:sz w:val="24"/>
                <w:szCs w:val="24"/>
              </w:rPr>
            </w:pPr>
          </w:p>
          <w:p w:rsidR="002F79CC" w:rsidRDefault="002F79CC" w:rsidP="002F79CC">
            <w:pPr>
              <w:jc w:val="center"/>
              <w:rPr>
                <w:rFonts w:ascii="Times New Roman" w:hAnsi="Times New Roman" w:cs="Times New Roman"/>
                <w:sz w:val="24"/>
                <w:szCs w:val="24"/>
              </w:rPr>
            </w:pPr>
          </w:p>
        </w:tc>
      </w:tr>
      <w:tr w:rsidR="002F79CC" w:rsidTr="002F79CC">
        <w:tc>
          <w:tcPr>
            <w:tcW w:w="1548" w:type="dxa"/>
          </w:tcPr>
          <w:p w:rsidR="002F79CC" w:rsidRDefault="002F79CC" w:rsidP="002F79CC">
            <w:pPr>
              <w:jc w:val="center"/>
              <w:rPr>
                <w:rFonts w:ascii="Times New Roman" w:hAnsi="Times New Roman" w:cs="Times New Roman"/>
                <w:sz w:val="24"/>
                <w:szCs w:val="24"/>
              </w:rPr>
            </w:pPr>
            <w:r>
              <w:rPr>
                <w:rFonts w:ascii="Times New Roman" w:hAnsi="Times New Roman" w:cs="Times New Roman"/>
                <w:sz w:val="24"/>
                <w:szCs w:val="24"/>
              </w:rPr>
              <w:t>Title IV</w:t>
            </w:r>
          </w:p>
        </w:tc>
        <w:tc>
          <w:tcPr>
            <w:tcW w:w="9468" w:type="dxa"/>
          </w:tcPr>
          <w:p w:rsidR="002F79CC" w:rsidRDefault="002F79CC" w:rsidP="002F79CC">
            <w:pPr>
              <w:rPr>
                <w:rFonts w:ascii="Times New Roman" w:hAnsi="Times New Roman" w:cs="Times New Roman"/>
                <w:sz w:val="24"/>
                <w:szCs w:val="24"/>
              </w:rPr>
            </w:pPr>
          </w:p>
          <w:p w:rsidR="002F79CC" w:rsidRDefault="002F79CC" w:rsidP="002F79CC">
            <w:pPr>
              <w:jc w:val="center"/>
              <w:rPr>
                <w:rFonts w:ascii="Times New Roman" w:hAnsi="Times New Roman" w:cs="Times New Roman"/>
                <w:sz w:val="24"/>
                <w:szCs w:val="24"/>
              </w:rPr>
            </w:pPr>
          </w:p>
          <w:p w:rsidR="002F79CC" w:rsidRDefault="002F79CC" w:rsidP="002F79CC">
            <w:pPr>
              <w:jc w:val="center"/>
              <w:rPr>
                <w:rFonts w:ascii="Times New Roman" w:hAnsi="Times New Roman" w:cs="Times New Roman"/>
                <w:sz w:val="24"/>
                <w:szCs w:val="24"/>
              </w:rPr>
            </w:pPr>
          </w:p>
          <w:p w:rsidR="002F79CC" w:rsidRDefault="002F79CC" w:rsidP="002F79CC">
            <w:pPr>
              <w:jc w:val="center"/>
              <w:rPr>
                <w:rFonts w:ascii="Times New Roman" w:hAnsi="Times New Roman" w:cs="Times New Roman"/>
                <w:sz w:val="24"/>
                <w:szCs w:val="24"/>
              </w:rPr>
            </w:pPr>
          </w:p>
        </w:tc>
      </w:tr>
      <w:tr w:rsidR="002F79CC" w:rsidTr="002F79CC">
        <w:tc>
          <w:tcPr>
            <w:tcW w:w="1548" w:type="dxa"/>
          </w:tcPr>
          <w:p w:rsidR="002F79CC" w:rsidRDefault="002F79CC" w:rsidP="002F79CC">
            <w:pPr>
              <w:jc w:val="center"/>
              <w:rPr>
                <w:rFonts w:ascii="Times New Roman" w:hAnsi="Times New Roman" w:cs="Times New Roman"/>
                <w:sz w:val="24"/>
                <w:szCs w:val="24"/>
              </w:rPr>
            </w:pPr>
            <w:r>
              <w:rPr>
                <w:rFonts w:ascii="Times New Roman" w:hAnsi="Times New Roman" w:cs="Times New Roman"/>
                <w:sz w:val="24"/>
                <w:szCs w:val="24"/>
              </w:rPr>
              <w:t>Title V</w:t>
            </w:r>
          </w:p>
        </w:tc>
        <w:tc>
          <w:tcPr>
            <w:tcW w:w="9468" w:type="dxa"/>
          </w:tcPr>
          <w:p w:rsidR="002F79CC" w:rsidRDefault="002F79CC" w:rsidP="002F79CC">
            <w:pPr>
              <w:jc w:val="center"/>
              <w:rPr>
                <w:rFonts w:ascii="Times New Roman" w:hAnsi="Times New Roman" w:cs="Times New Roman"/>
                <w:sz w:val="24"/>
                <w:szCs w:val="24"/>
              </w:rPr>
            </w:pPr>
          </w:p>
          <w:p w:rsidR="002F79CC" w:rsidRDefault="002F79CC" w:rsidP="002F79CC">
            <w:pPr>
              <w:jc w:val="center"/>
              <w:rPr>
                <w:rFonts w:ascii="Times New Roman" w:hAnsi="Times New Roman" w:cs="Times New Roman"/>
                <w:sz w:val="24"/>
                <w:szCs w:val="24"/>
              </w:rPr>
            </w:pPr>
          </w:p>
          <w:p w:rsidR="002F79CC" w:rsidRDefault="002F79CC" w:rsidP="002F79CC">
            <w:pPr>
              <w:rPr>
                <w:rFonts w:ascii="Times New Roman" w:hAnsi="Times New Roman" w:cs="Times New Roman"/>
                <w:sz w:val="24"/>
                <w:szCs w:val="24"/>
              </w:rPr>
            </w:pPr>
          </w:p>
          <w:p w:rsidR="002F79CC" w:rsidRDefault="002F79CC" w:rsidP="002F79CC">
            <w:pPr>
              <w:jc w:val="center"/>
              <w:rPr>
                <w:rFonts w:ascii="Times New Roman" w:hAnsi="Times New Roman" w:cs="Times New Roman"/>
                <w:sz w:val="24"/>
                <w:szCs w:val="24"/>
              </w:rPr>
            </w:pPr>
          </w:p>
        </w:tc>
      </w:tr>
      <w:tr w:rsidR="002F79CC" w:rsidTr="002F79CC">
        <w:tc>
          <w:tcPr>
            <w:tcW w:w="1548" w:type="dxa"/>
          </w:tcPr>
          <w:p w:rsidR="002F79CC" w:rsidRDefault="002F79CC" w:rsidP="002F79CC">
            <w:pPr>
              <w:jc w:val="center"/>
              <w:rPr>
                <w:rFonts w:ascii="Times New Roman" w:hAnsi="Times New Roman" w:cs="Times New Roman"/>
                <w:sz w:val="24"/>
                <w:szCs w:val="24"/>
              </w:rPr>
            </w:pPr>
            <w:r>
              <w:rPr>
                <w:rFonts w:ascii="Times New Roman" w:hAnsi="Times New Roman" w:cs="Times New Roman"/>
                <w:sz w:val="24"/>
                <w:szCs w:val="24"/>
              </w:rPr>
              <w:t>Title VI</w:t>
            </w:r>
          </w:p>
        </w:tc>
        <w:tc>
          <w:tcPr>
            <w:tcW w:w="9468" w:type="dxa"/>
          </w:tcPr>
          <w:p w:rsidR="002F79CC" w:rsidRDefault="002F79CC" w:rsidP="002F79CC">
            <w:pPr>
              <w:jc w:val="center"/>
              <w:rPr>
                <w:rFonts w:ascii="Times New Roman" w:hAnsi="Times New Roman" w:cs="Times New Roman"/>
                <w:sz w:val="24"/>
                <w:szCs w:val="24"/>
              </w:rPr>
            </w:pPr>
          </w:p>
          <w:p w:rsidR="002F79CC" w:rsidRDefault="002F79CC" w:rsidP="002F79CC">
            <w:pPr>
              <w:rPr>
                <w:rFonts w:ascii="Times New Roman" w:hAnsi="Times New Roman" w:cs="Times New Roman"/>
                <w:sz w:val="24"/>
                <w:szCs w:val="24"/>
              </w:rPr>
            </w:pPr>
          </w:p>
          <w:p w:rsidR="002F79CC" w:rsidRDefault="002F79CC" w:rsidP="002F79CC">
            <w:pPr>
              <w:jc w:val="center"/>
              <w:rPr>
                <w:rFonts w:ascii="Times New Roman" w:hAnsi="Times New Roman" w:cs="Times New Roman"/>
                <w:sz w:val="24"/>
                <w:szCs w:val="24"/>
              </w:rPr>
            </w:pPr>
          </w:p>
          <w:p w:rsidR="002F79CC" w:rsidRDefault="002F79CC" w:rsidP="002F79CC">
            <w:pPr>
              <w:jc w:val="center"/>
              <w:rPr>
                <w:rFonts w:ascii="Times New Roman" w:hAnsi="Times New Roman" w:cs="Times New Roman"/>
                <w:sz w:val="24"/>
                <w:szCs w:val="24"/>
              </w:rPr>
            </w:pPr>
          </w:p>
        </w:tc>
      </w:tr>
      <w:tr w:rsidR="002F79CC" w:rsidTr="002F79CC">
        <w:tc>
          <w:tcPr>
            <w:tcW w:w="1548" w:type="dxa"/>
          </w:tcPr>
          <w:p w:rsidR="002F79CC" w:rsidRDefault="002F79CC" w:rsidP="002F79CC">
            <w:pPr>
              <w:jc w:val="center"/>
              <w:rPr>
                <w:rFonts w:ascii="Times New Roman" w:hAnsi="Times New Roman" w:cs="Times New Roman"/>
                <w:sz w:val="24"/>
                <w:szCs w:val="24"/>
              </w:rPr>
            </w:pPr>
            <w:r>
              <w:rPr>
                <w:rFonts w:ascii="Times New Roman" w:hAnsi="Times New Roman" w:cs="Times New Roman"/>
                <w:sz w:val="24"/>
                <w:szCs w:val="24"/>
              </w:rPr>
              <w:t>Title VII</w:t>
            </w:r>
          </w:p>
        </w:tc>
        <w:tc>
          <w:tcPr>
            <w:tcW w:w="9468" w:type="dxa"/>
          </w:tcPr>
          <w:p w:rsidR="002F79CC" w:rsidRDefault="002F79CC" w:rsidP="002F79CC">
            <w:pPr>
              <w:jc w:val="center"/>
              <w:rPr>
                <w:rFonts w:ascii="Times New Roman" w:hAnsi="Times New Roman" w:cs="Times New Roman"/>
                <w:sz w:val="24"/>
                <w:szCs w:val="24"/>
              </w:rPr>
            </w:pPr>
          </w:p>
          <w:p w:rsidR="002F79CC" w:rsidRDefault="002F79CC" w:rsidP="002F79CC">
            <w:pPr>
              <w:rPr>
                <w:rFonts w:ascii="Times New Roman" w:hAnsi="Times New Roman" w:cs="Times New Roman"/>
                <w:sz w:val="24"/>
                <w:szCs w:val="24"/>
              </w:rPr>
            </w:pPr>
          </w:p>
          <w:p w:rsidR="002F79CC" w:rsidRDefault="002F79CC" w:rsidP="002F79CC">
            <w:pPr>
              <w:jc w:val="center"/>
              <w:rPr>
                <w:rFonts w:ascii="Times New Roman" w:hAnsi="Times New Roman" w:cs="Times New Roman"/>
                <w:sz w:val="24"/>
                <w:szCs w:val="24"/>
              </w:rPr>
            </w:pPr>
          </w:p>
          <w:p w:rsidR="002F79CC" w:rsidRDefault="002F79CC" w:rsidP="002F79CC">
            <w:pPr>
              <w:jc w:val="center"/>
              <w:rPr>
                <w:rFonts w:ascii="Times New Roman" w:hAnsi="Times New Roman" w:cs="Times New Roman"/>
                <w:sz w:val="24"/>
                <w:szCs w:val="24"/>
              </w:rPr>
            </w:pPr>
          </w:p>
        </w:tc>
      </w:tr>
      <w:tr w:rsidR="002F79CC" w:rsidTr="002F79CC">
        <w:tc>
          <w:tcPr>
            <w:tcW w:w="1548" w:type="dxa"/>
          </w:tcPr>
          <w:p w:rsidR="002F79CC" w:rsidRDefault="002F79CC" w:rsidP="002F79CC">
            <w:pPr>
              <w:jc w:val="center"/>
              <w:rPr>
                <w:rFonts w:ascii="Times New Roman" w:hAnsi="Times New Roman" w:cs="Times New Roman"/>
                <w:sz w:val="24"/>
                <w:szCs w:val="24"/>
              </w:rPr>
            </w:pPr>
            <w:r>
              <w:rPr>
                <w:rFonts w:ascii="Times New Roman" w:hAnsi="Times New Roman" w:cs="Times New Roman"/>
                <w:sz w:val="24"/>
                <w:szCs w:val="24"/>
              </w:rPr>
              <w:t>Title VIII</w:t>
            </w:r>
          </w:p>
        </w:tc>
        <w:tc>
          <w:tcPr>
            <w:tcW w:w="9468" w:type="dxa"/>
          </w:tcPr>
          <w:p w:rsidR="002F79CC" w:rsidRDefault="002F79CC" w:rsidP="002F79CC">
            <w:pPr>
              <w:jc w:val="center"/>
              <w:rPr>
                <w:rFonts w:ascii="Times New Roman" w:hAnsi="Times New Roman" w:cs="Times New Roman"/>
                <w:sz w:val="24"/>
                <w:szCs w:val="24"/>
              </w:rPr>
            </w:pPr>
          </w:p>
          <w:p w:rsidR="002F79CC" w:rsidRDefault="002F79CC" w:rsidP="002F79CC">
            <w:pPr>
              <w:jc w:val="center"/>
              <w:rPr>
                <w:rFonts w:ascii="Times New Roman" w:hAnsi="Times New Roman" w:cs="Times New Roman"/>
                <w:sz w:val="24"/>
                <w:szCs w:val="24"/>
              </w:rPr>
            </w:pPr>
          </w:p>
          <w:p w:rsidR="002F79CC" w:rsidRDefault="002F79CC" w:rsidP="002F79CC">
            <w:pPr>
              <w:rPr>
                <w:rFonts w:ascii="Times New Roman" w:hAnsi="Times New Roman" w:cs="Times New Roman"/>
                <w:sz w:val="24"/>
                <w:szCs w:val="24"/>
              </w:rPr>
            </w:pPr>
          </w:p>
          <w:p w:rsidR="002F79CC" w:rsidRDefault="002F79CC" w:rsidP="002F79CC">
            <w:pPr>
              <w:jc w:val="center"/>
              <w:rPr>
                <w:rFonts w:ascii="Times New Roman" w:hAnsi="Times New Roman" w:cs="Times New Roman"/>
                <w:sz w:val="24"/>
                <w:szCs w:val="24"/>
              </w:rPr>
            </w:pPr>
          </w:p>
        </w:tc>
      </w:tr>
      <w:tr w:rsidR="002F79CC" w:rsidTr="002F79CC">
        <w:tc>
          <w:tcPr>
            <w:tcW w:w="1548" w:type="dxa"/>
          </w:tcPr>
          <w:p w:rsidR="002F79CC" w:rsidRDefault="002F79CC" w:rsidP="002F79CC">
            <w:pPr>
              <w:jc w:val="center"/>
              <w:rPr>
                <w:rFonts w:ascii="Times New Roman" w:hAnsi="Times New Roman" w:cs="Times New Roman"/>
                <w:sz w:val="24"/>
                <w:szCs w:val="24"/>
              </w:rPr>
            </w:pPr>
            <w:r>
              <w:rPr>
                <w:rFonts w:ascii="Times New Roman" w:hAnsi="Times New Roman" w:cs="Times New Roman"/>
                <w:sz w:val="24"/>
                <w:szCs w:val="24"/>
              </w:rPr>
              <w:t>Title IX</w:t>
            </w:r>
          </w:p>
        </w:tc>
        <w:tc>
          <w:tcPr>
            <w:tcW w:w="9468" w:type="dxa"/>
          </w:tcPr>
          <w:p w:rsidR="002F79CC" w:rsidRDefault="002F79CC" w:rsidP="002F79CC">
            <w:pPr>
              <w:rPr>
                <w:rFonts w:ascii="Times New Roman" w:hAnsi="Times New Roman" w:cs="Times New Roman"/>
                <w:sz w:val="24"/>
                <w:szCs w:val="24"/>
              </w:rPr>
            </w:pPr>
          </w:p>
          <w:p w:rsidR="002F79CC" w:rsidRDefault="002F79CC" w:rsidP="002F79CC">
            <w:pPr>
              <w:jc w:val="center"/>
              <w:rPr>
                <w:rFonts w:ascii="Times New Roman" w:hAnsi="Times New Roman" w:cs="Times New Roman"/>
                <w:sz w:val="24"/>
                <w:szCs w:val="24"/>
              </w:rPr>
            </w:pPr>
          </w:p>
          <w:p w:rsidR="002F79CC" w:rsidRDefault="002F79CC" w:rsidP="002F79CC">
            <w:pPr>
              <w:jc w:val="center"/>
              <w:rPr>
                <w:rFonts w:ascii="Times New Roman" w:hAnsi="Times New Roman" w:cs="Times New Roman"/>
                <w:sz w:val="24"/>
                <w:szCs w:val="24"/>
              </w:rPr>
            </w:pPr>
          </w:p>
          <w:p w:rsidR="002F79CC" w:rsidRDefault="002F79CC" w:rsidP="002F79CC">
            <w:pPr>
              <w:jc w:val="center"/>
              <w:rPr>
                <w:rFonts w:ascii="Times New Roman" w:hAnsi="Times New Roman" w:cs="Times New Roman"/>
                <w:sz w:val="24"/>
                <w:szCs w:val="24"/>
              </w:rPr>
            </w:pPr>
          </w:p>
        </w:tc>
      </w:tr>
      <w:tr w:rsidR="002F79CC" w:rsidTr="002F79CC">
        <w:tc>
          <w:tcPr>
            <w:tcW w:w="1548" w:type="dxa"/>
          </w:tcPr>
          <w:p w:rsidR="002F79CC" w:rsidRDefault="002F79CC" w:rsidP="002F79CC">
            <w:pPr>
              <w:jc w:val="center"/>
              <w:rPr>
                <w:rFonts w:ascii="Times New Roman" w:hAnsi="Times New Roman" w:cs="Times New Roman"/>
                <w:sz w:val="24"/>
                <w:szCs w:val="24"/>
              </w:rPr>
            </w:pPr>
            <w:r>
              <w:rPr>
                <w:rFonts w:ascii="Times New Roman" w:hAnsi="Times New Roman" w:cs="Times New Roman"/>
                <w:sz w:val="24"/>
                <w:szCs w:val="24"/>
              </w:rPr>
              <w:t>Title X</w:t>
            </w:r>
          </w:p>
        </w:tc>
        <w:tc>
          <w:tcPr>
            <w:tcW w:w="9468" w:type="dxa"/>
          </w:tcPr>
          <w:p w:rsidR="002F79CC" w:rsidRDefault="002F79CC" w:rsidP="002F79CC">
            <w:pPr>
              <w:jc w:val="center"/>
              <w:rPr>
                <w:rFonts w:ascii="Times New Roman" w:hAnsi="Times New Roman" w:cs="Times New Roman"/>
                <w:sz w:val="24"/>
                <w:szCs w:val="24"/>
              </w:rPr>
            </w:pPr>
          </w:p>
          <w:p w:rsidR="002F79CC" w:rsidRDefault="002F79CC" w:rsidP="002F79CC">
            <w:pPr>
              <w:jc w:val="center"/>
              <w:rPr>
                <w:rFonts w:ascii="Times New Roman" w:hAnsi="Times New Roman" w:cs="Times New Roman"/>
                <w:sz w:val="24"/>
                <w:szCs w:val="24"/>
              </w:rPr>
            </w:pPr>
          </w:p>
          <w:p w:rsidR="002F79CC" w:rsidRDefault="002F79CC" w:rsidP="002F79CC">
            <w:pPr>
              <w:jc w:val="center"/>
              <w:rPr>
                <w:rFonts w:ascii="Times New Roman" w:hAnsi="Times New Roman" w:cs="Times New Roman"/>
                <w:sz w:val="24"/>
                <w:szCs w:val="24"/>
              </w:rPr>
            </w:pPr>
          </w:p>
          <w:p w:rsidR="002F79CC" w:rsidRDefault="002F79CC" w:rsidP="002F79CC">
            <w:pPr>
              <w:jc w:val="center"/>
              <w:rPr>
                <w:rFonts w:ascii="Times New Roman" w:hAnsi="Times New Roman" w:cs="Times New Roman"/>
                <w:sz w:val="24"/>
                <w:szCs w:val="24"/>
              </w:rPr>
            </w:pPr>
          </w:p>
        </w:tc>
      </w:tr>
      <w:tr w:rsidR="002F79CC" w:rsidTr="002F79CC">
        <w:tc>
          <w:tcPr>
            <w:tcW w:w="1548" w:type="dxa"/>
          </w:tcPr>
          <w:p w:rsidR="002F79CC" w:rsidRDefault="002F79CC" w:rsidP="002F79CC">
            <w:pPr>
              <w:jc w:val="center"/>
              <w:rPr>
                <w:rFonts w:ascii="Times New Roman" w:hAnsi="Times New Roman" w:cs="Times New Roman"/>
                <w:sz w:val="24"/>
                <w:szCs w:val="24"/>
              </w:rPr>
            </w:pPr>
            <w:r>
              <w:rPr>
                <w:rFonts w:ascii="Times New Roman" w:hAnsi="Times New Roman" w:cs="Times New Roman"/>
                <w:sz w:val="24"/>
                <w:szCs w:val="24"/>
              </w:rPr>
              <w:t>Title XI</w:t>
            </w:r>
          </w:p>
        </w:tc>
        <w:tc>
          <w:tcPr>
            <w:tcW w:w="9468" w:type="dxa"/>
          </w:tcPr>
          <w:p w:rsidR="002F79CC" w:rsidRDefault="002F79CC" w:rsidP="002F79CC">
            <w:pPr>
              <w:jc w:val="center"/>
              <w:rPr>
                <w:rFonts w:ascii="Times New Roman" w:hAnsi="Times New Roman" w:cs="Times New Roman"/>
                <w:sz w:val="24"/>
                <w:szCs w:val="24"/>
              </w:rPr>
            </w:pPr>
          </w:p>
          <w:p w:rsidR="002F79CC" w:rsidRDefault="002F79CC" w:rsidP="002F79CC">
            <w:pPr>
              <w:jc w:val="center"/>
              <w:rPr>
                <w:rFonts w:ascii="Times New Roman" w:hAnsi="Times New Roman" w:cs="Times New Roman"/>
                <w:sz w:val="24"/>
                <w:szCs w:val="24"/>
              </w:rPr>
            </w:pPr>
          </w:p>
          <w:p w:rsidR="002F79CC" w:rsidRDefault="002F79CC" w:rsidP="002F79CC">
            <w:pPr>
              <w:jc w:val="center"/>
              <w:rPr>
                <w:rFonts w:ascii="Times New Roman" w:hAnsi="Times New Roman" w:cs="Times New Roman"/>
                <w:sz w:val="24"/>
                <w:szCs w:val="24"/>
              </w:rPr>
            </w:pPr>
          </w:p>
          <w:p w:rsidR="002F79CC" w:rsidRDefault="002F79CC" w:rsidP="002F79CC">
            <w:pPr>
              <w:jc w:val="center"/>
              <w:rPr>
                <w:rFonts w:ascii="Times New Roman" w:hAnsi="Times New Roman" w:cs="Times New Roman"/>
                <w:sz w:val="24"/>
                <w:szCs w:val="24"/>
              </w:rPr>
            </w:pPr>
          </w:p>
        </w:tc>
      </w:tr>
    </w:tbl>
    <w:p w:rsidR="002F79CC" w:rsidRPr="002F79CC" w:rsidRDefault="002F79CC" w:rsidP="002F79CC">
      <w:pPr>
        <w:jc w:val="center"/>
        <w:rPr>
          <w:rFonts w:ascii="Times New Roman" w:hAnsi="Times New Roman" w:cs="Times New Roman"/>
          <w:sz w:val="24"/>
          <w:szCs w:val="24"/>
        </w:rPr>
      </w:pPr>
    </w:p>
    <w:sectPr w:rsidR="002F79CC" w:rsidRPr="002F79CC" w:rsidSect="00A22DC0">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rsids>
    <w:rsidRoot w:val="00A22DC0"/>
    <w:rsid w:val="002F79CC"/>
    <w:rsid w:val="006439FD"/>
    <w:rsid w:val="00875667"/>
    <w:rsid w:val="00A22DC0"/>
    <w:rsid w:val="00BE76AA"/>
    <w:rsid w:val="00E659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5667"/>
  </w:style>
  <w:style w:type="paragraph" w:styleId="Heading1">
    <w:name w:val="heading 1"/>
    <w:basedOn w:val="Normal"/>
    <w:link w:val="Heading1Char"/>
    <w:uiPriority w:val="9"/>
    <w:qFormat/>
    <w:rsid w:val="006439F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22DC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6439FD"/>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6439FD"/>
    <w:rPr>
      <w:color w:val="0000FF"/>
      <w:u w:val="single"/>
    </w:rPr>
  </w:style>
  <w:style w:type="character" w:customStyle="1" w:styleId="ata11y">
    <w:name w:val="at_a11y"/>
    <w:basedOn w:val="DefaultParagraphFont"/>
    <w:rsid w:val="006439FD"/>
  </w:style>
  <w:style w:type="character" w:customStyle="1" w:styleId="addthisseparator">
    <w:name w:val="addthis_separator"/>
    <w:basedOn w:val="DefaultParagraphFont"/>
    <w:rsid w:val="006439FD"/>
  </w:style>
  <w:style w:type="paragraph" w:styleId="NormalWeb">
    <w:name w:val="Normal (Web)"/>
    <w:basedOn w:val="Normal"/>
    <w:uiPriority w:val="99"/>
    <w:semiHidden/>
    <w:unhideWhenUsed/>
    <w:rsid w:val="006439FD"/>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6439FD"/>
    <w:rPr>
      <w:i/>
      <w:iCs/>
    </w:rPr>
  </w:style>
  <w:style w:type="character" w:styleId="Strong">
    <w:name w:val="Strong"/>
    <w:basedOn w:val="DefaultParagraphFont"/>
    <w:uiPriority w:val="22"/>
    <w:qFormat/>
    <w:rsid w:val="006439FD"/>
    <w:rPr>
      <w:b/>
      <w:bCs/>
    </w:rPr>
  </w:style>
  <w:style w:type="character" w:customStyle="1" w:styleId="heading">
    <w:name w:val="heading"/>
    <w:basedOn w:val="DefaultParagraphFont"/>
    <w:rsid w:val="006439FD"/>
  </w:style>
  <w:style w:type="character" w:customStyle="1" w:styleId="floatright">
    <w:name w:val="floatright"/>
    <w:basedOn w:val="DefaultParagraphFont"/>
    <w:rsid w:val="006439FD"/>
  </w:style>
  <w:style w:type="paragraph" w:styleId="BalloonText">
    <w:name w:val="Balloon Text"/>
    <w:basedOn w:val="Normal"/>
    <w:link w:val="BalloonTextChar"/>
    <w:uiPriority w:val="99"/>
    <w:semiHidden/>
    <w:unhideWhenUsed/>
    <w:rsid w:val="006439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39F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79574922">
      <w:bodyDiv w:val="1"/>
      <w:marLeft w:val="0"/>
      <w:marRight w:val="0"/>
      <w:marTop w:val="0"/>
      <w:marBottom w:val="0"/>
      <w:divBdr>
        <w:top w:val="none" w:sz="0" w:space="0" w:color="auto"/>
        <w:left w:val="none" w:sz="0" w:space="0" w:color="auto"/>
        <w:bottom w:val="none" w:sz="0" w:space="0" w:color="auto"/>
        <w:right w:val="none" w:sz="0" w:space="0" w:color="auto"/>
      </w:divBdr>
      <w:divsChild>
        <w:div w:id="11154763">
          <w:marLeft w:val="0"/>
          <w:marRight w:val="0"/>
          <w:marTop w:val="0"/>
          <w:marBottom w:val="0"/>
          <w:divBdr>
            <w:top w:val="none" w:sz="0" w:space="0" w:color="auto"/>
            <w:left w:val="none" w:sz="0" w:space="0" w:color="auto"/>
            <w:bottom w:val="none" w:sz="0" w:space="0" w:color="auto"/>
            <w:right w:val="none" w:sz="0" w:space="0" w:color="auto"/>
          </w:divBdr>
        </w:div>
        <w:div w:id="2704813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4</Pages>
  <Words>472</Words>
  <Characters>2693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 Clone User</dc:creator>
  <cp:keywords/>
  <dc:description/>
  <cp:lastModifiedBy>TPS</cp:lastModifiedBy>
  <cp:revision>2</cp:revision>
  <cp:lastPrinted>2013-04-16T16:15:00Z</cp:lastPrinted>
  <dcterms:created xsi:type="dcterms:W3CDTF">2013-04-16T15:11:00Z</dcterms:created>
  <dcterms:modified xsi:type="dcterms:W3CDTF">2013-12-02T12:30:00Z</dcterms:modified>
</cp:coreProperties>
</file>